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2AA" w:rsidRPr="00BF52AA" w:rsidRDefault="00BF52AA" w:rsidP="00BF52AA">
      <w:pPr>
        <w:spacing w:after="254"/>
        <w:ind w:right="275"/>
        <w:jc w:val="center"/>
        <w:rPr>
          <w:rFonts w:eastAsia="Calibri" w:cstheme="minorHAnsi"/>
          <w:color w:val="000000"/>
          <w:sz w:val="24"/>
          <w:szCs w:val="24"/>
          <w:lang w:eastAsia="en-ZA"/>
        </w:rPr>
      </w:pPr>
      <w:r w:rsidRPr="00BF52AA">
        <w:rPr>
          <w:rFonts w:eastAsia="Arial" w:cstheme="minorHAnsi"/>
          <w:b/>
          <w:color w:val="000000"/>
          <w:sz w:val="24"/>
          <w:szCs w:val="24"/>
          <w:lang w:eastAsia="en-ZA"/>
        </w:rPr>
        <w:t xml:space="preserve">ANAESTHESIOLOGY &amp; CRITICAL CARE </w:t>
      </w:r>
    </w:p>
    <w:p w:rsidR="00BF52AA" w:rsidRPr="00BF52AA" w:rsidRDefault="00BF52AA" w:rsidP="00BF52AA">
      <w:pPr>
        <w:shd w:val="clear" w:color="auto" w:fill="BFBFBF"/>
        <w:spacing w:after="548"/>
        <w:ind w:left="87"/>
        <w:jc w:val="center"/>
        <w:rPr>
          <w:rFonts w:eastAsia="Calibri" w:cstheme="minorHAnsi"/>
          <w:color w:val="000000"/>
          <w:sz w:val="24"/>
          <w:szCs w:val="24"/>
          <w:lang w:eastAsia="en-ZA"/>
        </w:rPr>
      </w:pPr>
      <w:bookmarkStart w:id="0" w:name="_Hlk209527792"/>
      <w:r w:rsidRPr="00BF52AA">
        <w:rPr>
          <w:rFonts w:eastAsia="Arial" w:cstheme="minorHAnsi"/>
          <w:b/>
          <w:color w:val="000000"/>
          <w:sz w:val="24"/>
          <w:szCs w:val="24"/>
          <w:lang w:eastAsia="en-ZA"/>
        </w:rPr>
        <w:t xml:space="preserve">2025 PUBLICATIONS </w:t>
      </w:r>
    </w:p>
    <w:p w:rsidR="00BF52AA" w:rsidRPr="00064C77" w:rsidRDefault="00BF52AA" w:rsidP="00BF52AA">
      <w:pPr>
        <w:numPr>
          <w:ilvl w:val="0"/>
          <w:numId w:val="1"/>
        </w:numPr>
        <w:spacing w:after="307" w:line="240" w:lineRule="auto"/>
        <w:rPr>
          <w:rFonts w:cstheme="minorHAnsi"/>
          <w:sz w:val="24"/>
          <w:szCs w:val="24"/>
        </w:rPr>
      </w:pPr>
      <w:bookmarkStart w:id="1" w:name="_Hlk209527885"/>
      <w:bookmarkEnd w:id="0"/>
      <w:r w:rsidRPr="00064C77">
        <w:rPr>
          <w:rFonts w:cstheme="minorHAnsi"/>
          <w:sz w:val="24"/>
          <w:szCs w:val="24"/>
        </w:rPr>
        <w:t xml:space="preserve">Tim Baker; The African Critical Illness Outcomes Study (ACIOS) Investigators. The African Critical Illness Outcomes Study (ACIOS): a point prevalence study of critical illness in 22 nations in Africa. </w:t>
      </w:r>
      <w:r w:rsidRPr="00064C77">
        <w:rPr>
          <w:rFonts w:cstheme="minorHAnsi"/>
          <w:i/>
          <w:sz w:val="24"/>
          <w:szCs w:val="24"/>
        </w:rPr>
        <w:t xml:space="preserve">Lancet. </w:t>
      </w:r>
      <w:r w:rsidRPr="00064C77">
        <w:rPr>
          <w:rFonts w:cstheme="minorHAnsi"/>
          <w:sz w:val="24"/>
          <w:szCs w:val="24"/>
        </w:rPr>
        <w:t>2025; 405: p11-16</w:t>
      </w:r>
    </w:p>
    <w:bookmarkEnd w:id="1"/>
    <w:p w:rsidR="00BF52AA" w:rsidRPr="00064C77" w:rsidRDefault="00BF52AA" w:rsidP="00BF52AA">
      <w:pPr>
        <w:numPr>
          <w:ilvl w:val="0"/>
          <w:numId w:val="1"/>
        </w:numPr>
        <w:spacing w:after="307" w:line="240" w:lineRule="auto"/>
        <w:rPr>
          <w:rFonts w:cstheme="minorHAnsi"/>
          <w:sz w:val="24"/>
          <w:szCs w:val="24"/>
        </w:rPr>
      </w:pPr>
      <w:r w:rsidRPr="00064C77">
        <w:rPr>
          <w:rFonts w:cstheme="minorHAnsi"/>
          <w:b/>
          <w:sz w:val="24"/>
          <w:szCs w:val="24"/>
        </w:rPr>
        <w:t>CL Richards-Edwards; PD Gopalan</w:t>
      </w:r>
      <w:r w:rsidRPr="00064C77">
        <w:rPr>
          <w:rFonts w:cstheme="minorHAnsi"/>
          <w:sz w:val="24"/>
          <w:szCs w:val="24"/>
        </w:rPr>
        <w:t>. An investigation of barriers to reporting anaesthesia related critical incidents using the National Guideline for Patient Safety Incident Reporting and Learning</w:t>
      </w:r>
      <w:bookmarkStart w:id="2" w:name="_Hlk208822726"/>
      <w:r w:rsidRPr="00064C77">
        <w:rPr>
          <w:rFonts w:cstheme="minorHAnsi"/>
          <w:sz w:val="24"/>
          <w:szCs w:val="24"/>
        </w:rPr>
        <w:t xml:space="preserve">. </w:t>
      </w:r>
      <w:r w:rsidRPr="00064C77">
        <w:rPr>
          <w:rFonts w:cstheme="minorHAnsi"/>
          <w:i/>
          <w:sz w:val="24"/>
          <w:szCs w:val="24"/>
        </w:rPr>
        <w:t>South African Journal of Anaesthesia and Analgesia</w:t>
      </w:r>
      <w:r w:rsidRPr="00064C77">
        <w:rPr>
          <w:rFonts w:cstheme="minorHAnsi"/>
          <w:sz w:val="24"/>
          <w:szCs w:val="24"/>
        </w:rPr>
        <w:t xml:space="preserve">. </w:t>
      </w:r>
      <w:bookmarkEnd w:id="2"/>
      <w:r w:rsidRPr="00064C77">
        <w:rPr>
          <w:rFonts w:cstheme="minorHAnsi"/>
          <w:sz w:val="24"/>
          <w:szCs w:val="24"/>
        </w:rPr>
        <w:t xml:space="preserve">2025; 31(1): p11-16. </w:t>
      </w:r>
      <w:r w:rsidRPr="00064C77">
        <w:rPr>
          <w:rFonts w:cstheme="minorHAnsi"/>
          <w:color w:val="0563C1"/>
          <w:sz w:val="24"/>
          <w:szCs w:val="24"/>
          <w:u w:val="single" w:color="0563C1"/>
        </w:rPr>
        <w:t>https://doi.org/10.36</w:t>
      </w:r>
      <w:hyperlink r:id="rId5">
        <w:r w:rsidRPr="00064C77">
          <w:rPr>
            <w:rFonts w:cstheme="minorHAnsi"/>
            <w:color w:val="0563C1"/>
            <w:sz w:val="24"/>
            <w:szCs w:val="24"/>
            <w:u w:val="single" w:color="0563C1"/>
          </w:rPr>
          <w:t>303/SAJAA.3169</w:t>
        </w:r>
      </w:hyperlink>
    </w:p>
    <w:p w:rsidR="00BF52AA" w:rsidRPr="00064C77" w:rsidRDefault="00BF52AA" w:rsidP="00BF52AA">
      <w:pPr>
        <w:numPr>
          <w:ilvl w:val="0"/>
          <w:numId w:val="1"/>
        </w:numPr>
        <w:spacing w:after="307" w:line="240" w:lineRule="auto"/>
        <w:rPr>
          <w:rFonts w:cstheme="minorHAnsi"/>
          <w:sz w:val="24"/>
          <w:szCs w:val="24"/>
        </w:rPr>
      </w:pPr>
      <w:r w:rsidRPr="00064C77">
        <w:rPr>
          <w:rFonts w:cstheme="minorHAnsi"/>
          <w:sz w:val="24"/>
          <w:szCs w:val="24"/>
        </w:rPr>
        <w:t xml:space="preserve">D. Thiele, </w:t>
      </w:r>
      <w:r w:rsidRPr="00064C77">
        <w:rPr>
          <w:rFonts w:cstheme="minorHAnsi"/>
          <w:b/>
          <w:sz w:val="24"/>
          <w:szCs w:val="24"/>
        </w:rPr>
        <w:t>RN Rodseth</w:t>
      </w:r>
      <w:r w:rsidRPr="00064C77">
        <w:rPr>
          <w:rFonts w:cstheme="minorHAnsi"/>
          <w:sz w:val="24"/>
          <w:szCs w:val="24"/>
        </w:rPr>
        <w:t xml:space="preserve">, R Friedland, F Berger, C </w:t>
      </w:r>
      <w:proofErr w:type="spellStart"/>
      <w:r w:rsidRPr="00064C77">
        <w:rPr>
          <w:rFonts w:cstheme="minorHAnsi"/>
          <w:sz w:val="24"/>
          <w:szCs w:val="24"/>
        </w:rPr>
        <w:t>Mathe</w:t>
      </w:r>
      <w:proofErr w:type="spellEnd"/>
      <w:r w:rsidRPr="00064C77">
        <w:rPr>
          <w:rFonts w:cstheme="minorHAnsi"/>
          <w:sz w:val="24"/>
          <w:szCs w:val="24"/>
        </w:rPr>
        <w:t xml:space="preserve">, C </w:t>
      </w:r>
      <w:proofErr w:type="spellStart"/>
      <w:r w:rsidRPr="00064C77">
        <w:rPr>
          <w:rFonts w:cstheme="minorHAnsi"/>
          <w:sz w:val="24"/>
          <w:szCs w:val="24"/>
        </w:rPr>
        <w:t>Maslo</w:t>
      </w:r>
      <w:proofErr w:type="spellEnd"/>
      <w:r w:rsidRPr="00064C77">
        <w:rPr>
          <w:rFonts w:cstheme="minorHAnsi"/>
          <w:sz w:val="24"/>
          <w:szCs w:val="24"/>
        </w:rPr>
        <w:t xml:space="preserve">, V Moll, C </w:t>
      </w:r>
      <w:proofErr w:type="spellStart"/>
      <w:r w:rsidRPr="00064C77">
        <w:rPr>
          <w:rFonts w:cstheme="minorHAnsi"/>
          <w:sz w:val="24"/>
          <w:szCs w:val="24"/>
        </w:rPr>
        <w:t>Leithner</w:t>
      </w:r>
      <w:proofErr w:type="spellEnd"/>
      <w:r w:rsidRPr="00064C77">
        <w:rPr>
          <w:rFonts w:cstheme="minorHAnsi"/>
          <w:sz w:val="24"/>
          <w:szCs w:val="24"/>
        </w:rPr>
        <w:t xml:space="preserve">, C. Storm, A. </w:t>
      </w:r>
      <w:proofErr w:type="spellStart"/>
      <w:r w:rsidRPr="00064C77">
        <w:rPr>
          <w:rFonts w:cstheme="minorHAnsi"/>
          <w:sz w:val="24"/>
          <w:szCs w:val="24"/>
        </w:rPr>
        <w:t>Krannich</w:t>
      </w:r>
      <w:proofErr w:type="spellEnd"/>
      <w:r w:rsidRPr="00064C77">
        <w:rPr>
          <w:rFonts w:cstheme="minorHAnsi"/>
          <w:sz w:val="24"/>
          <w:szCs w:val="24"/>
        </w:rPr>
        <w:t xml:space="preserve"> and J. Nee. Machine Learning Models for the Early Real-Time Prediction of Deterioration in Intensive Care Units—A Novel Approach to the Early Identification of High-Risk Patients. </w:t>
      </w:r>
      <w:r w:rsidRPr="00064C77">
        <w:rPr>
          <w:rFonts w:cstheme="minorHAnsi"/>
          <w:i/>
          <w:sz w:val="24"/>
          <w:szCs w:val="24"/>
        </w:rPr>
        <w:t xml:space="preserve">Journal of Clinical Medicine; </w:t>
      </w:r>
      <w:r w:rsidRPr="00064C77">
        <w:rPr>
          <w:rFonts w:cstheme="minorHAnsi"/>
          <w:sz w:val="24"/>
          <w:szCs w:val="24"/>
        </w:rPr>
        <w:t xml:space="preserve">2025;14(2): 350. </w:t>
      </w:r>
      <w:hyperlink r:id="rId6" w:history="1">
        <w:r w:rsidRPr="00064C77">
          <w:rPr>
            <w:rStyle w:val="Hyperlink"/>
            <w:rFonts w:cstheme="minorHAnsi"/>
            <w:sz w:val="24"/>
            <w:szCs w:val="24"/>
          </w:rPr>
          <w:t>https://doi.org/10.3390/jcm14020350</w:t>
        </w:r>
      </w:hyperlink>
    </w:p>
    <w:p w:rsidR="00BF52AA" w:rsidRPr="00064C77" w:rsidRDefault="00BF52AA" w:rsidP="00BF52AA">
      <w:pPr>
        <w:numPr>
          <w:ilvl w:val="0"/>
          <w:numId w:val="1"/>
        </w:numPr>
        <w:spacing w:after="307" w:line="240" w:lineRule="auto"/>
        <w:rPr>
          <w:rFonts w:cstheme="minorHAnsi"/>
          <w:i/>
          <w:sz w:val="24"/>
          <w:szCs w:val="24"/>
        </w:rPr>
      </w:pPr>
      <w:r w:rsidRPr="00064C77">
        <w:rPr>
          <w:rFonts w:cstheme="minorHAnsi"/>
          <w:sz w:val="24"/>
          <w:szCs w:val="24"/>
        </w:rPr>
        <w:t xml:space="preserve">TD Leong, R Mpofu, S </w:t>
      </w:r>
      <w:proofErr w:type="spellStart"/>
      <w:r w:rsidRPr="00064C77">
        <w:rPr>
          <w:rFonts w:cstheme="minorHAnsi"/>
          <w:sz w:val="24"/>
          <w:szCs w:val="24"/>
        </w:rPr>
        <w:t>Dadan</w:t>
      </w:r>
      <w:proofErr w:type="spellEnd"/>
      <w:r w:rsidRPr="00064C77">
        <w:rPr>
          <w:rFonts w:cstheme="minorHAnsi"/>
          <w:sz w:val="24"/>
          <w:szCs w:val="24"/>
        </w:rPr>
        <w:t xml:space="preserve">, K Cohen, H Dawood, T </w:t>
      </w:r>
      <w:proofErr w:type="spellStart"/>
      <w:r w:rsidRPr="00064C77">
        <w:rPr>
          <w:rFonts w:cstheme="minorHAnsi"/>
          <w:sz w:val="24"/>
          <w:szCs w:val="24"/>
        </w:rPr>
        <w:t>Kredo</w:t>
      </w:r>
      <w:proofErr w:type="spellEnd"/>
      <w:r w:rsidRPr="00064C77">
        <w:rPr>
          <w:rFonts w:cstheme="minorHAnsi"/>
          <w:sz w:val="24"/>
          <w:szCs w:val="24"/>
        </w:rPr>
        <w:t>, A Parrish, M Blockman</w:t>
      </w:r>
      <w:r w:rsidRPr="00064C77">
        <w:rPr>
          <w:rFonts w:cstheme="minorHAnsi"/>
          <w:b/>
          <w:sz w:val="24"/>
          <w:szCs w:val="24"/>
        </w:rPr>
        <w:t xml:space="preserve">, PD Gopalan. </w:t>
      </w:r>
      <w:r w:rsidRPr="00064C77">
        <w:rPr>
          <w:rFonts w:cstheme="minorHAnsi"/>
          <w:sz w:val="24"/>
          <w:szCs w:val="24"/>
        </w:rPr>
        <w:t xml:space="preserve">A systematic review and meta-analysis of noradrenaline compared to adrenaline in the management of septic shock. </w:t>
      </w:r>
      <w:r w:rsidRPr="00064C77">
        <w:rPr>
          <w:rFonts w:cstheme="minorHAnsi"/>
          <w:i/>
          <w:sz w:val="24"/>
          <w:szCs w:val="24"/>
        </w:rPr>
        <w:t xml:space="preserve">African Journal of Emergency Medicine; </w:t>
      </w:r>
      <w:r w:rsidRPr="00064C77">
        <w:rPr>
          <w:rFonts w:cstheme="minorHAnsi"/>
          <w:sz w:val="24"/>
          <w:szCs w:val="24"/>
        </w:rPr>
        <w:t>2025:</w:t>
      </w:r>
      <w:r w:rsidRPr="00064C77">
        <w:rPr>
          <w:rFonts w:cstheme="minorHAnsi"/>
          <w:i/>
          <w:sz w:val="24"/>
          <w:szCs w:val="24"/>
        </w:rPr>
        <w:t xml:space="preserve"> </w:t>
      </w:r>
      <w:r w:rsidRPr="00064C77">
        <w:rPr>
          <w:rFonts w:cstheme="minorHAnsi"/>
          <w:sz w:val="24"/>
          <w:szCs w:val="24"/>
        </w:rPr>
        <w:t xml:space="preserve">15(3); </w:t>
      </w:r>
      <w:hyperlink r:id="rId7" w:history="1">
        <w:r w:rsidRPr="00064C77">
          <w:rPr>
            <w:rStyle w:val="Hyperlink"/>
            <w:rFonts w:cstheme="minorHAnsi"/>
            <w:sz w:val="24"/>
            <w:szCs w:val="24"/>
          </w:rPr>
          <w:t>https://doi.org/10.1016/j.afjem.2025.05.005</w:t>
        </w:r>
      </w:hyperlink>
    </w:p>
    <w:p w:rsidR="00BF52AA" w:rsidRPr="00064C77" w:rsidRDefault="00BF52AA" w:rsidP="00BF52AA">
      <w:pPr>
        <w:numPr>
          <w:ilvl w:val="0"/>
          <w:numId w:val="1"/>
        </w:numPr>
        <w:spacing w:after="307" w:line="240" w:lineRule="auto"/>
        <w:rPr>
          <w:rFonts w:cstheme="minorHAnsi"/>
          <w:i/>
          <w:sz w:val="24"/>
          <w:szCs w:val="24"/>
        </w:rPr>
      </w:pPr>
      <w:r w:rsidRPr="00064C77">
        <w:rPr>
          <w:rFonts w:cstheme="minorHAnsi"/>
          <w:sz w:val="24"/>
          <w:szCs w:val="24"/>
        </w:rPr>
        <w:t xml:space="preserve">CA </w:t>
      </w:r>
      <w:proofErr w:type="spellStart"/>
      <w:r w:rsidRPr="00064C77">
        <w:rPr>
          <w:rFonts w:cstheme="minorHAnsi"/>
          <w:sz w:val="24"/>
          <w:szCs w:val="24"/>
        </w:rPr>
        <w:t>Pfortmueller</w:t>
      </w:r>
      <w:proofErr w:type="spellEnd"/>
      <w:r w:rsidRPr="00064C77">
        <w:rPr>
          <w:rFonts w:cstheme="minorHAnsi"/>
          <w:sz w:val="24"/>
          <w:szCs w:val="24"/>
        </w:rPr>
        <w:t xml:space="preserve">, W </w:t>
      </w:r>
      <w:proofErr w:type="spellStart"/>
      <w:r w:rsidRPr="00064C77">
        <w:rPr>
          <w:rFonts w:cstheme="minorHAnsi"/>
          <w:sz w:val="24"/>
          <w:szCs w:val="24"/>
        </w:rPr>
        <w:t>Dabrowski</w:t>
      </w:r>
      <w:proofErr w:type="spellEnd"/>
      <w:r w:rsidRPr="00064C77">
        <w:rPr>
          <w:rFonts w:cstheme="minorHAnsi"/>
          <w:sz w:val="24"/>
          <w:szCs w:val="24"/>
        </w:rPr>
        <w:t xml:space="preserve">, </w:t>
      </w:r>
      <w:r w:rsidRPr="00064C77">
        <w:rPr>
          <w:rFonts w:cstheme="minorHAnsi"/>
          <w:b/>
          <w:sz w:val="24"/>
          <w:szCs w:val="24"/>
        </w:rPr>
        <w:t>R Wise</w:t>
      </w:r>
      <w:r w:rsidRPr="00064C77">
        <w:rPr>
          <w:rFonts w:cstheme="minorHAnsi"/>
          <w:sz w:val="24"/>
          <w:szCs w:val="24"/>
        </w:rPr>
        <w:t xml:space="preserve">, N van </w:t>
      </w:r>
      <w:proofErr w:type="spellStart"/>
      <w:r w:rsidRPr="00064C77">
        <w:rPr>
          <w:rFonts w:cstheme="minorHAnsi"/>
          <w:sz w:val="24"/>
          <w:szCs w:val="24"/>
        </w:rPr>
        <w:t>Regenmortel</w:t>
      </w:r>
      <w:proofErr w:type="spellEnd"/>
      <w:r w:rsidRPr="00064C77">
        <w:rPr>
          <w:rFonts w:cstheme="minorHAnsi"/>
          <w:sz w:val="24"/>
          <w:szCs w:val="24"/>
        </w:rPr>
        <w:t xml:space="preserve"> and MLNG </w:t>
      </w:r>
      <w:proofErr w:type="spellStart"/>
      <w:r w:rsidRPr="00064C77">
        <w:rPr>
          <w:rFonts w:cstheme="minorHAnsi"/>
          <w:sz w:val="24"/>
          <w:szCs w:val="24"/>
        </w:rPr>
        <w:t>Malbrain</w:t>
      </w:r>
      <w:proofErr w:type="spellEnd"/>
      <w:r w:rsidRPr="00064C77">
        <w:rPr>
          <w:rFonts w:cstheme="minorHAnsi"/>
          <w:sz w:val="24"/>
          <w:szCs w:val="24"/>
        </w:rPr>
        <w:t xml:space="preserve">. Correction: Fluid accumulation syndrome in sepsis and septic shock: pathophysiology, relevance and treatment—a comprehensive review. </w:t>
      </w:r>
      <w:r w:rsidRPr="00064C77">
        <w:rPr>
          <w:rFonts w:cstheme="minorHAnsi"/>
          <w:i/>
          <w:sz w:val="24"/>
          <w:szCs w:val="24"/>
        </w:rPr>
        <w:t xml:space="preserve">Annals of Intensive Care; </w:t>
      </w:r>
      <w:r w:rsidRPr="00064C77">
        <w:rPr>
          <w:rFonts w:cstheme="minorHAnsi"/>
          <w:sz w:val="24"/>
          <w:szCs w:val="24"/>
        </w:rPr>
        <w:t xml:space="preserve">2025; 21(15): 1825. </w:t>
      </w:r>
      <w:hyperlink r:id="rId8" w:history="1">
        <w:r w:rsidRPr="00064C77">
          <w:rPr>
            <w:rStyle w:val="Hyperlink"/>
            <w:rFonts w:cstheme="minorHAnsi"/>
            <w:sz w:val="24"/>
            <w:szCs w:val="24"/>
          </w:rPr>
          <w:t>https://doi.org/10.1186/s13613-024-01336-9</w:t>
        </w:r>
      </w:hyperlink>
    </w:p>
    <w:p w:rsidR="00703DF8" w:rsidRPr="00064C77" w:rsidRDefault="00703DF8" w:rsidP="00703DF8">
      <w:pPr>
        <w:numPr>
          <w:ilvl w:val="0"/>
          <w:numId w:val="1"/>
        </w:numPr>
        <w:spacing w:after="307" w:line="240" w:lineRule="auto"/>
        <w:rPr>
          <w:rStyle w:val="Hyperlink"/>
          <w:rFonts w:cstheme="minorHAnsi"/>
          <w:color w:val="000000"/>
          <w:sz w:val="24"/>
          <w:szCs w:val="24"/>
        </w:rPr>
      </w:pPr>
      <w:r w:rsidRPr="00064C77">
        <w:rPr>
          <w:rFonts w:cstheme="minorHAnsi"/>
          <w:sz w:val="24"/>
          <w:szCs w:val="24"/>
        </w:rPr>
        <w:t xml:space="preserve">J Giddy, A Donkin and </w:t>
      </w:r>
      <w:r w:rsidRPr="00064C77">
        <w:rPr>
          <w:rFonts w:cstheme="minorHAnsi"/>
          <w:b/>
          <w:sz w:val="24"/>
          <w:szCs w:val="24"/>
        </w:rPr>
        <w:t>RN Rodseth</w:t>
      </w:r>
      <w:r w:rsidRPr="00064C77">
        <w:rPr>
          <w:rFonts w:cstheme="minorHAnsi"/>
          <w:sz w:val="24"/>
          <w:szCs w:val="24"/>
        </w:rPr>
        <w:t xml:space="preserve">. ‘Gender affirming healthcare’ is not what the family physician needs to know. </w:t>
      </w:r>
      <w:r w:rsidRPr="00064C77">
        <w:rPr>
          <w:rFonts w:cstheme="minorHAnsi"/>
          <w:i/>
          <w:sz w:val="24"/>
          <w:szCs w:val="24"/>
        </w:rPr>
        <w:t xml:space="preserve">South African Family Practice. </w:t>
      </w:r>
      <w:r w:rsidRPr="00064C77">
        <w:rPr>
          <w:rFonts w:cstheme="minorHAnsi"/>
          <w:sz w:val="24"/>
          <w:szCs w:val="24"/>
        </w:rPr>
        <w:t>2025; 67(1</w:t>
      </w:r>
      <w:proofErr w:type="gramStart"/>
      <w:r w:rsidRPr="00064C77">
        <w:rPr>
          <w:rFonts w:cstheme="minorHAnsi"/>
          <w:sz w:val="24"/>
          <w:szCs w:val="24"/>
        </w:rPr>
        <w:t>):e</w:t>
      </w:r>
      <w:proofErr w:type="gramEnd"/>
      <w:r w:rsidRPr="00064C77">
        <w:rPr>
          <w:rFonts w:cstheme="minorHAnsi"/>
          <w:sz w:val="24"/>
          <w:szCs w:val="24"/>
        </w:rPr>
        <w:t xml:space="preserve">6061. </w:t>
      </w:r>
      <w:hyperlink r:id="rId9" w:history="1">
        <w:r w:rsidRPr="00064C77">
          <w:rPr>
            <w:rStyle w:val="Hyperlink"/>
            <w:rFonts w:cstheme="minorHAnsi"/>
            <w:sz w:val="24"/>
            <w:szCs w:val="24"/>
          </w:rPr>
          <w:t>https://doi.org/10.4102/safp.v67i1.6061</w:t>
        </w:r>
      </w:hyperlink>
    </w:p>
    <w:p w:rsidR="00703DF8" w:rsidRPr="00064C77" w:rsidRDefault="00703DF8" w:rsidP="00703DF8">
      <w:pPr>
        <w:numPr>
          <w:ilvl w:val="0"/>
          <w:numId w:val="1"/>
        </w:numPr>
        <w:spacing w:after="307" w:line="240" w:lineRule="auto"/>
        <w:rPr>
          <w:rFonts w:cstheme="minorHAnsi"/>
          <w:sz w:val="24"/>
          <w:szCs w:val="24"/>
        </w:rPr>
      </w:pPr>
      <w:r w:rsidRPr="00064C77">
        <w:rPr>
          <w:rFonts w:cstheme="minorHAnsi"/>
          <w:b/>
          <w:sz w:val="24"/>
          <w:szCs w:val="24"/>
        </w:rPr>
        <w:t>N Nkosi</w:t>
      </w:r>
      <w:r w:rsidRPr="00064C77">
        <w:rPr>
          <w:rFonts w:cstheme="minorHAnsi"/>
          <w:sz w:val="24"/>
          <w:szCs w:val="24"/>
        </w:rPr>
        <w:t xml:space="preserve">, P </w:t>
      </w:r>
      <w:proofErr w:type="spellStart"/>
      <w:r w:rsidRPr="00064C77">
        <w:rPr>
          <w:rFonts w:cstheme="minorHAnsi"/>
          <w:sz w:val="24"/>
          <w:szCs w:val="24"/>
        </w:rPr>
        <w:t>Maré</w:t>
      </w:r>
      <w:proofErr w:type="spellEnd"/>
      <w:r w:rsidRPr="00064C77">
        <w:rPr>
          <w:rFonts w:cstheme="minorHAnsi"/>
          <w:sz w:val="24"/>
          <w:szCs w:val="24"/>
        </w:rPr>
        <w:t xml:space="preserve">, </w:t>
      </w:r>
      <w:r w:rsidRPr="00064C77">
        <w:rPr>
          <w:rFonts w:cstheme="minorHAnsi"/>
          <w:b/>
          <w:sz w:val="24"/>
          <w:szCs w:val="24"/>
        </w:rPr>
        <w:t>DG Bishop and C Rajah</w:t>
      </w:r>
      <w:r w:rsidRPr="00064C77">
        <w:rPr>
          <w:rFonts w:cstheme="minorHAnsi"/>
          <w:sz w:val="24"/>
          <w:szCs w:val="24"/>
        </w:rPr>
        <w:t xml:space="preserve">. The effect of a preoperative patient information video on child and caregiver anxiety: a prospective, non-randomised, controlled study.  </w:t>
      </w:r>
      <w:r w:rsidRPr="006C616B">
        <w:rPr>
          <w:rFonts w:cstheme="minorHAnsi"/>
          <w:i/>
          <w:sz w:val="24"/>
          <w:szCs w:val="24"/>
        </w:rPr>
        <w:t>South African Journal of Anaesthesia and Analgesia</w:t>
      </w:r>
      <w:r w:rsidRPr="00064C77">
        <w:rPr>
          <w:rFonts w:cstheme="minorHAnsi"/>
          <w:sz w:val="24"/>
          <w:szCs w:val="24"/>
        </w:rPr>
        <w:t xml:space="preserve">. 2025;31(4):106-111. </w:t>
      </w:r>
      <w:hyperlink r:id="rId10" w:history="1">
        <w:r w:rsidRPr="00064C77">
          <w:rPr>
            <w:rStyle w:val="Hyperlink"/>
            <w:rFonts w:cstheme="minorHAnsi"/>
            <w:sz w:val="24"/>
            <w:szCs w:val="24"/>
          </w:rPr>
          <w:t>https://doi.org/10.36303/SAJAA.3227</w:t>
        </w:r>
      </w:hyperlink>
    </w:p>
    <w:p w:rsidR="00703DF8" w:rsidRPr="00703DF8" w:rsidRDefault="00703DF8" w:rsidP="00703DF8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 w:rsidRPr="00064C77">
        <w:rPr>
          <w:rFonts w:cstheme="minorHAnsi"/>
          <w:b/>
          <w:sz w:val="24"/>
          <w:szCs w:val="24"/>
        </w:rPr>
        <w:t>V Govender, D Pillay and L Cronje.</w:t>
      </w:r>
      <w:r w:rsidRPr="00064C77">
        <w:rPr>
          <w:rFonts w:cstheme="minorHAnsi"/>
          <w:sz w:val="24"/>
          <w:szCs w:val="24"/>
        </w:rPr>
        <w:t xml:space="preserve"> Death on the operating table: A10-year retrospective, observational descriptive case series study at Victoria </w:t>
      </w:r>
      <w:proofErr w:type="spellStart"/>
      <w:r w:rsidRPr="00064C77">
        <w:rPr>
          <w:rFonts w:cstheme="minorHAnsi"/>
          <w:sz w:val="24"/>
          <w:szCs w:val="24"/>
        </w:rPr>
        <w:t>Mxenge</w:t>
      </w:r>
      <w:proofErr w:type="spellEnd"/>
      <w:r w:rsidRPr="00064C77">
        <w:rPr>
          <w:rFonts w:cstheme="minorHAnsi"/>
          <w:sz w:val="24"/>
          <w:szCs w:val="24"/>
        </w:rPr>
        <w:t xml:space="preserve"> tertiary referral hospital in KwaZulu-Nata. </w:t>
      </w:r>
      <w:r w:rsidRPr="006C616B">
        <w:rPr>
          <w:rFonts w:cstheme="minorHAnsi"/>
          <w:i/>
          <w:sz w:val="24"/>
          <w:szCs w:val="24"/>
        </w:rPr>
        <w:t>Student’s Journal of Health Research Africa</w:t>
      </w:r>
      <w:r w:rsidRPr="00064C77">
        <w:rPr>
          <w:rFonts w:cstheme="minorHAnsi"/>
          <w:sz w:val="24"/>
          <w:szCs w:val="24"/>
        </w:rPr>
        <w:t xml:space="preserve">. 2025; 6(9):12. </w:t>
      </w:r>
      <w:hyperlink r:id="rId11" w:history="1">
        <w:r w:rsidRPr="00064C77">
          <w:rPr>
            <w:rStyle w:val="Hyperlink"/>
            <w:rFonts w:cstheme="minorHAnsi"/>
            <w:sz w:val="24"/>
            <w:szCs w:val="24"/>
          </w:rPr>
          <w:t>https://doi.org/10.51168/sjhrafrica.v6i9.2024</w:t>
        </w:r>
      </w:hyperlink>
    </w:p>
    <w:p w:rsidR="00703DF8" w:rsidRPr="00703DF8" w:rsidRDefault="00703DF8" w:rsidP="00703DF8">
      <w:pPr>
        <w:rPr>
          <w:rStyle w:val="Hyperlink"/>
          <w:color w:val="auto"/>
          <w:u w:val="none"/>
        </w:rPr>
      </w:pPr>
    </w:p>
    <w:p w:rsidR="00703DF8" w:rsidRPr="00703DF8" w:rsidRDefault="00703DF8" w:rsidP="00703DF8">
      <w:pPr>
        <w:pStyle w:val="ListParagraph"/>
        <w:ind w:left="768"/>
        <w:rPr>
          <w:rStyle w:val="Hyperlink"/>
          <w:color w:val="auto"/>
          <w:u w:val="none"/>
        </w:rPr>
      </w:pPr>
    </w:p>
    <w:p w:rsidR="00703DF8" w:rsidRPr="00703DF8" w:rsidRDefault="00703DF8" w:rsidP="00703DF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3DF8">
        <w:rPr>
          <w:sz w:val="24"/>
          <w:szCs w:val="24"/>
        </w:rPr>
        <w:lastRenderedPageBreak/>
        <w:t xml:space="preserve">M Crowther, RA Dyer, </w:t>
      </w:r>
      <w:r w:rsidRPr="00703DF8">
        <w:rPr>
          <w:b/>
          <w:sz w:val="24"/>
          <w:szCs w:val="24"/>
        </w:rPr>
        <w:t>DG Bishop</w:t>
      </w:r>
      <w:r w:rsidRPr="00703DF8">
        <w:rPr>
          <w:sz w:val="24"/>
          <w:szCs w:val="24"/>
        </w:rPr>
        <w:t xml:space="preserve">, S </w:t>
      </w:r>
      <w:proofErr w:type="spellStart"/>
      <w:r w:rsidRPr="00703DF8">
        <w:rPr>
          <w:sz w:val="24"/>
          <w:szCs w:val="24"/>
        </w:rPr>
        <w:t>Maswime</w:t>
      </w:r>
      <w:proofErr w:type="spellEnd"/>
      <w:r w:rsidRPr="00703DF8">
        <w:rPr>
          <w:sz w:val="24"/>
          <w:szCs w:val="24"/>
        </w:rPr>
        <w:t xml:space="preserve">, RM Pearse, BM Biccard and on behalf of the African Partnership for Perioperative and Critical Care Research (APPRISE) Investigator. Cross-Sectional Survey to Assess Hospital System Readiness for </w:t>
      </w:r>
      <w:proofErr w:type="spellStart"/>
      <w:r w:rsidRPr="00703DF8">
        <w:rPr>
          <w:sz w:val="24"/>
          <w:szCs w:val="24"/>
        </w:rPr>
        <w:t>Hemorrhage</w:t>
      </w:r>
      <w:proofErr w:type="spellEnd"/>
      <w:r w:rsidRPr="00703DF8">
        <w:rPr>
          <w:sz w:val="24"/>
          <w:szCs w:val="24"/>
        </w:rPr>
        <w:t xml:space="preserve"> During and After </w:t>
      </w:r>
      <w:proofErr w:type="spellStart"/>
      <w:r w:rsidRPr="00703DF8">
        <w:rPr>
          <w:sz w:val="24"/>
          <w:szCs w:val="24"/>
        </w:rPr>
        <w:t>Cesarean</w:t>
      </w:r>
      <w:proofErr w:type="spellEnd"/>
      <w:r w:rsidRPr="00703DF8">
        <w:rPr>
          <w:sz w:val="24"/>
          <w:szCs w:val="24"/>
        </w:rPr>
        <w:t xml:space="preserve"> Delivery in Africa. </w:t>
      </w:r>
      <w:proofErr w:type="spellStart"/>
      <w:r w:rsidRPr="006C616B">
        <w:rPr>
          <w:i/>
          <w:sz w:val="24"/>
          <w:szCs w:val="24"/>
        </w:rPr>
        <w:t>Anesthesia</w:t>
      </w:r>
      <w:proofErr w:type="spellEnd"/>
      <w:r w:rsidRPr="006C616B">
        <w:rPr>
          <w:i/>
          <w:sz w:val="24"/>
          <w:szCs w:val="24"/>
        </w:rPr>
        <w:t xml:space="preserve"> &amp; Analgesia</w:t>
      </w:r>
      <w:r w:rsidRPr="00703DF8">
        <w:rPr>
          <w:sz w:val="24"/>
          <w:szCs w:val="24"/>
        </w:rPr>
        <w:t>. 2025;141(3):456-463. DOI: 10.1213/ANE.0000000000007192</w:t>
      </w:r>
    </w:p>
    <w:p w:rsidR="00703DF8" w:rsidRPr="00064C77" w:rsidRDefault="00703DF8" w:rsidP="00703DF8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064C77">
        <w:rPr>
          <w:rFonts w:cstheme="minorHAnsi"/>
          <w:b/>
          <w:sz w:val="24"/>
          <w:szCs w:val="24"/>
        </w:rPr>
        <w:t xml:space="preserve">T Curtis and S </w:t>
      </w:r>
      <w:proofErr w:type="spellStart"/>
      <w:r w:rsidRPr="00064C77">
        <w:rPr>
          <w:rFonts w:cstheme="minorHAnsi"/>
          <w:b/>
          <w:sz w:val="24"/>
          <w:szCs w:val="24"/>
        </w:rPr>
        <w:t>Singaram</w:t>
      </w:r>
      <w:proofErr w:type="spellEnd"/>
      <w:r w:rsidRPr="00064C77">
        <w:rPr>
          <w:rFonts w:cstheme="minorHAnsi"/>
          <w:b/>
          <w:sz w:val="24"/>
          <w:szCs w:val="24"/>
        </w:rPr>
        <w:t xml:space="preserve">. </w:t>
      </w:r>
      <w:r w:rsidRPr="00064C77">
        <w:rPr>
          <w:rFonts w:cstheme="minorHAnsi"/>
          <w:sz w:val="24"/>
          <w:szCs w:val="24"/>
        </w:rPr>
        <w:t xml:space="preserve">The Effectiveness of Post-operative Analgesia in Caesarean Section Patients at King </w:t>
      </w:r>
      <w:proofErr w:type="spellStart"/>
      <w:r w:rsidRPr="00064C77">
        <w:rPr>
          <w:rFonts w:cstheme="minorHAnsi"/>
          <w:sz w:val="24"/>
          <w:szCs w:val="24"/>
        </w:rPr>
        <w:t>Dinuzulu</w:t>
      </w:r>
      <w:proofErr w:type="spellEnd"/>
      <w:r w:rsidRPr="00064C77">
        <w:rPr>
          <w:rFonts w:cstheme="minorHAnsi"/>
          <w:sz w:val="24"/>
          <w:szCs w:val="24"/>
        </w:rPr>
        <w:t xml:space="preserve"> Hospital Complex: A Prospective Qualitative Descriptive analytical study at a District level Hospital in South Africa</w:t>
      </w:r>
      <w:r w:rsidRPr="00064C77">
        <w:rPr>
          <w:rFonts w:cstheme="minorHAnsi"/>
          <w:i/>
          <w:sz w:val="24"/>
          <w:szCs w:val="24"/>
        </w:rPr>
        <w:t xml:space="preserve">. Student’s Journal of Health Research Africa. </w:t>
      </w:r>
    </w:p>
    <w:p w:rsidR="00703DF8" w:rsidRDefault="00703DF8" w:rsidP="00703DF8">
      <w:pPr>
        <w:pStyle w:val="ListParagraph"/>
        <w:spacing w:after="307" w:line="240" w:lineRule="auto"/>
        <w:ind w:right="2712" w:firstLine="77"/>
        <w:rPr>
          <w:rFonts w:cstheme="minorHAnsi"/>
          <w:sz w:val="24"/>
          <w:szCs w:val="24"/>
        </w:rPr>
      </w:pPr>
      <w:r w:rsidRPr="00064C77">
        <w:rPr>
          <w:rFonts w:cstheme="minorHAnsi"/>
          <w:sz w:val="24"/>
          <w:szCs w:val="24"/>
        </w:rPr>
        <w:t>2025;6(3): p10</w:t>
      </w:r>
      <w:r>
        <w:rPr>
          <w:rFonts w:cstheme="minorHAnsi"/>
          <w:sz w:val="24"/>
          <w:szCs w:val="24"/>
        </w:rPr>
        <w:t xml:space="preserve">. </w:t>
      </w:r>
      <w:hyperlink r:id="rId12" w:history="1">
        <w:r w:rsidRPr="00324442">
          <w:rPr>
            <w:rStyle w:val="Hyperlink"/>
            <w:rFonts w:cstheme="minorHAnsi"/>
            <w:sz w:val="24"/>
            <w:szCs w:val="24"/>
          </w:rPr>
          <w:t>https://doi.org/10.51168/sjhrafrica.v6i3.1526</w:t>
        </w:r>
      </w:hyperlink>
    </w:p>
    <w:p w:rsidR="00703DF8" w:rsidRDefault="00703DF8" w:rsidP="00703DF8">
      <w:pPr>
        <w:pStyle w:val="ListParagraph"/>
        <w:spacing w:after="307" w:line="240" w:lineRule="auto"/>
        <w:ind w:right="2712" w:firstLine="77"/>
        <w:rPr>
          <w:rStyle w:val="Hyperlink"/>
          <w:rFonts w:cstheme="minorHAnsi"/>
          <w:sz w:val="24"/>
          <w:szCs w:val="24"/>
        </w:rPr>
      </w:pPr>
    </w:p>
    <w:p w:rsidR="00703DF8" w:rsidRPr="00907CA5" w:rsidRDefault="00703DF8" w:rsidP="00703DF8">
      <w:pPr>
        <w:pStyle w:val="ListParagraph"/>
        <w:numPr>
          <w:ilvl w:val="0"/>
          <w:numId w:val="1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04381C">
        <w:rPr>
          <w:rFonts w:cstheme="minorHAnsi"/>
          <w:b/>
          <w:sz w:val="24"/>
          <w:szCs w:val="24"/>
        </w:rPr>
        <w:t>KG Gordon</w:t>
      </w:r>
      <w:r w:rsidRPr="00703DF8">
        <w:rPr>
          <w:rFonts w:cstheme="minorHAnsi"/>
          <w:sz w:val="24"/>
          <w:szCs w:val="24"/>
        </w:rPr>
        <w:t xml:space="preserve">, GA </w:t>
      </w:r>
      <w:proofErr w:type="spellStart"/>
      <w:r w:rsidRPr="00703DF8">
        <w:rPr>
          <w:rFonts w:cstheme="minorHAnsi"/>
          <w:sz w:val="24"/>
          <w:szCs w:val="24"/>
        </w:rPr>
        <w:t>Horsten</w:t>
      </w:r>
      <w:proofErr w:type="spellEnd"/>
      <w:r w:rsidRPr="00703DF8">
        <w:rPr>
          <w:rFonts w:cstheme="minorHAnsi"/>
          <w:sz w:val="24"/>
          <w:szCs w:val="24"/>
        </w:rPr>
        <w:t xml:space="preserve"> and CI Botha. A review of anti-obesity medications and anaesthesia. </w:t>
      </w:r>
      <w:bookmarkStart w:id="3" w:name="_Hlk215056026"/>
      <w:r w:rsidRPr="006C616B">
        <w:rPr>
          <w:rFonts w:cstheme="minorHAnsi"/>
          <w:i/>
          <w:sz w:val="24"/>
          <w:szCs w:val="24"/>
        </w:rPr>
        <w:t>Southern African Journal of Anaesthesia and Analgesia</w:t>
      </w:r>
      <w:bookmarkEnd w:id="3"/>
      <w:r w:rsidRPr="00703DF8">
        <w:rPr>
          <w:rFonts w:cstheme="minorHAnsi"/>
          <w:sz w:val="24"/>
          <w:szCs w:val="24"/>
        </w:rPr>
        <w:t xml:space="preserve">. 2025;31(3):90-94. </w:t>
      </w:r>
      <w:hyperlink r:id="rId13" w:history="1">
        <w:r w:rsidRPr="00324442">
          <w:rPr>
            <w:rStyle w:val="Hyperlink"/>
            <w:rFonts w:cstheme="minorHAnsi"/>
            <w:sz w:val="24"/>
            <w:szCs w:val="24"/>
          </w:rPr>
          <w:t>https://doi.org/10.36303/SAJAA.3208</w:t>
        </w:r>
      </w:hyperlink>
    </w:p>
    <w:p w:rsidR="00907CA5" w:rsidRPr="00907CA5" w:rsidRDefault="00907CA5" w:rsidP="00907CA5">
      <w:pPr>
        <w:pStyle w:val="ListParagraph"/>
        <w:ind w:left="768"/>
        <w:rPr>
          <w:rFonts w:cstheme="minorHAnsi"/>
          <w:b/>
          <w:sz w:val="24"/>
          <w:szCs w:val="24"/>
        </w:rPr>
      </w:pPr>
    </w:p>
    <w:p w:rsidR="00703DF8" w:rsidRDefault="00907CA5" w:rsidP="00703DF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bookmarkStart w:id="4" w:name="_Hlk211433258"/>
      <w:r w:rsidRPr="00907CA5">
        <w:rPr>
          <w:rFonts w:cstheme="minorHAnsi"/>
          <w:b/>
          <w:sz w:val="24"/>
          <w:szCs w:val="24"/>
        </w:rPr>
        <w:t>Y-C Chang, J Invernizzi</w:t>
      </w:r>
      <w:r w:rsidRPr="00907CA5">
        <w:rPr>
          <w:rFonts w:cstheme="minorHAnsi"/>
          <w:sz w:val="24"/>
          <w:szCs w:val="24"/>
        </w:rPr>
        <w:t xml:space="preserve"> and T </w:t>
      </w:r>
      <w:proofErr w:type="spellStart"/>
      <w:r w:rsidRPr="00907CA5">
        <w:rPr>
          <w:rFonts w:cstheme="minorHAnsi"/>
          <w:sz w:val="24"/>
          <w:szCs w:val="24"/>
        </w:rPr>
        <w:t>Mcizana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Pr="00907CA5">
        <w:rPr>
          <w:rFonts w:cstheme="minorHAnsi"/>
          <w:sz w:val="24"/>
          <w:szCs w:val="24"/>
        </w:rPr>
        <w:t>Validation of the APACHE‐II scoring system in critically ill patients diagnosed with COVID‐19 and admitted at a regional‐level hospital intensive care unit: A retrospective study.</w:t>
      </w:r>
      <w:r>
        <w:rPr>
          <w:rFonts w:cstheme="minorHAnsi"/>
          <w:sz w:val="24"/>
          <w:szCs w:val="24"/>
        </w:rPr>
        <w:t xml:space="preserve"> </w:t>
      </w:r>
      <w:bookmarkStart w:id="5" w:name="_Hlk217468900"/>
      <w:r w:rsidRPr="00907CA5">
        <w:rPr>
          <w:rFonts w:cstheme="minorHAnsi"/>
          <w:i/>
          <w:sz w:val="24"/>
          <w:szCs w:val="24"/>
        </w:rPr>
        <w:t>South African Journal Critical Care</w:t>
      </w:r>
      <w:bookmarkEnd w:id="5"/>
      <w:r w:rsidRPr="00907CA5">
        <w:rPr>
          <w:rFonts w:cstheme="minorHAnsi"/>
          <w:i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2025;41(2): e1906. </w:t>
      </w:r>
      <w:hyperlink r:id="rId14" w:history="1">
        <w:r w:rsidR="000835E6" w:rsidRPr="0063755E">
          <w:rPr>
            <w:rStyle w:val="Hyperlink"/>
            <w:rFonts w:cstheme="minorHAnsi"/>
            <w:sz w:val="24"/>
            <w:szCs w:val="24"/>
          </w:rPr>
          <w:t>https://doi.org/10.7196/SAJCC.2025.v412.1522</w:t>
        </w:r>
      </w:hyperlink>
    </w:p>
    <w:p w:rsidR="003E034D" w:rsidRDefault="003E034D" w:rsidP="003E034D">
      <w:pPr>
        <w:pStyle w:val="ListParagraph"/>
        <w:ind w:left="768"/>
        <w:rPr>
          <w:rFonts w:cstheme="minorHAnsi"/>
          <w:sz w:val="24"/>
          <w:szCs w:val="24"/>
        </w:rPr>
      </w:pPr>
    </w:p>
    <w:p w:rsidR="000835E6" w:rsidRPr="004858E1" w:rsidRDefault="0048704D" w:rsidP="00703DF8">
      <w:pPr>
        <w:pStyle w:val="ListParagraph"/>
        <w:numPr>
          <w:ilvl w:val="0"/>
          <w:numId w:val="1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bookmarkStart w:id="6" w:name="_Hlk211849011"/>
      <w:r w:rsidRPr="0048704D">
        <w:rPr>
          <w:rFonts w:cstheme="minorHAnsi"/>
          <w:sz w:val="24"/>
          <w:szCs w:val="24"/>
        </w:rPr>
        <w:t xml:space="preserve">N L </w:t>
      </w:r>
      <w:proofErr w:type="spellStart"/>
      <w:r w:rsidRPr="0048704D">
        <w:rPr>
          <w:rFonts w:cstheme="minorHAnsi"/>
          <w:sz w:val="24"/>
          <w:szCs w:val="24"/>
        </w:rPr>
        <w:t>Allorto</w:t>
      </w:r>
      <w:proofErr w:type="spellEnd"/>
      <w:r>
        <w:rPr>
          <w:rFonts w:cstheme="minorHAnsi"/>
          <w:sz w:val="24"/>
          <w:szCs w:val="24"/>
        </w:rPr>
        <w:t>,</w:t>
      </w:r>
      <w:r w:rsidR="003E034D">
        <w:rPr>
          <w:rFonts w:cstheme="minorHAnsi"/>
          <w:sz w:val="24"/>
          <w:szCs w:val="24"/>
        </w:rPr>
        <w:t xml:space="preserve"> </w:t>
      </w:r>
      <w:r w:rsidR="003E034D" w:rsidRPr="003E034D">
        <w:rPr>
          <w:rFonts w:cstheme="minorHAnsi"/>
          <w:b/>
          <w:sz w:val="24"/>
          <w:szCs w:val="24"/>
        </w:rPr>
        <w:t>RN Rodseth and DG Bishop</w:t>
      </w:r>
      <w:r w:rsidR="003E034D">
        <w:rPr>
          <w:rFonts w:cstheme="minorHAnsi"/>
          <w:b/>
          <w:sz w:val="24"/>
          <w:szCs w:val="24"/>
        </w:rPr>
        <w:t xml:space="preserve">. </w:t>
      </w:r>
      <w:r w:rsidR="003E034D" w:rsidRPr="003E034D">
        <w:rPr>
          <w:rFonts w:cstheme="minorHAnsi"/>
          <w:sz w:val="24"/>
          <w:szCs w:val="24"/>
        </w:rPr>
        <w:t>A Prospective Observational Study to Determine the Efficacy of a Theatre Prioritisation Tool in Optimal Utilisation of Limited Theatre Time for Deep Burn Injury in a Resource-Restricted Setting</w:t>
      </w:r>
      <w:r w:rsidR="003E034D">
        <w:rPr>
          <w:rFonts w:cstheme="minorHAnsi"/>
          <w:sz w:val="24"/>
          <w:szCs w:val="24"/>
        </w:rPr>
        <w:t xml:space="preserve">. </w:t>
      </w:r>
      <w:r w:rsidR="003E034D" w:rsidRPr="009D065A">
        <w:rPr>
          <w:rFonts w:cstheme="minorHAnsi"/>
          <w:i/>
          <w:sz w:val="24"/>
          <w:szCs w:val="24"/>
        </w:rPr>
        <w:t>European Burn Journal.</w:t>
      </w:r>
      <w:r w:rsidR="003E034D">
        <w:rPr>
          <w:rFonts w:cstheme="minorHAnsi"/>
          <w:sz w:val="24"/>
          <w:szCs w:val="24"/>
        </w:rPr>
        <w:t xml:space="preserve"> </w:t>
      </w:r>
      <w:r w:rsidR="004858E1">
        <w:rPr>
          <w:rFonts w:cstheme="minorHAnsi"/>
          <w:sz w:val="24"/>
          <w:szCs w:val="24"/>
        </w:rPr>
        <w:t>2025; 6:55</w:t>
      </w:r>
      <w:r w:rsidR="003E034D">
        <w:rPr>
          <w:rFonts w:cstheme="minorHAnsi"/>
          <w:sz w:val="24"/>
          <w:szCs w:val="24"/>
        </w:rPr>
        <w:t xml:space="preserve">. </w:t>
      </w:r>
      <w:hyperlink r:id="rId15" w:history="1">
        <w:r w:rsidR="003E034D" w:rsidRPr="0063755E">
          <w:rPr>
            <w:rStyle w:val="Hyperlink"/>
            <w:rFonts w:cstheme="minorHAnsi"/>
            <w:sz w:val="24"/>
            <w:szCs w:val="24"/>
          </w:rPr>
          <w:t>https://doi.org/10.3390/ebj6040055</w:t>
        </w:r>
      </w:hyperlink>
    </w:p>
    <w:p w:rsidR="004858E1" w:rsidRPr="004858E1" w:rsidRDefault="004858E1" w:rsidP="004858E1">
      <w:pPr>
        <w:pStyle w:val="ListParagraph"/>
        <w:ind w:left="768"/>
        <w:rPr>
          <w:rFonts w:cstheme="minorHAnsi"/>
          <w:sz w:val="24"/>
          <w:szCs w:val="24"/>
        </w:rPr>
      </w:pPr>
    </w:p>
    <w:p w:rsidR="004858E1" w:rsidRDefault="004858E1" w:rsidP="004858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D065A" w:rsidRPr="009D065A">
        <w:rPr>
          <w:rFonts w:cstheme="minorHAnsi"/>
          <w:sz w:val="24"/>
          <w:szCs w:val="24"/>
        </w:rPr>
        <w:t>A Donkin</w:t>
      </w:r>
      <w:r w:rsidR="009D065A">
        <w:rPr>
          <w:rFonts w:cstheme="minorHAnsi"/>
          <w:sz w:val="24"/>
          <w:szCs w:val="24"/>
        </w:rPr>
        <w:t xml:space="preserve">, </w:t>
      </w:r>
      <w:r w:rsidR="009D065A" w:rsidRPr="009D065A">
        <w:rPr>
          <w:rFonts w:cstheme="minorHAnsi"/>
          <w:b/>
          <w:sz w:val="24"/>
          <w:szCs w:val="24"/>
        </w:rPr>
        <w:t>RN Rodseth</w:t>
      </w:r>
      <w:r w:rsidR="009D065A">
        <w:rPr>
          <w:rFonts w:cstheme="minorHAnsi"/>
          <w:sz w:val="24"/>
          <w:szCs w:val="24"/>
        </w:rPr>
        <w:t xml:space="preserve"> and </w:t>
      </w:r>
      <w:r w:rsidR="009D065A" w:rsidRPr="009D065A">
        <w:rPr>
          <w:rFonts w:cstheme="minorHAnsi"/>
          <w:sz w:val="24"/>
          <w:szCs w:val="24"/>
        </w:rPr>
        <w:t>J Giddy</w:t>
      </w:r>
      <w:r w:rsidR="009D065A">
        <w:rPr>
          <w:rFonts w:cstheme="minorHAnsi"/>
          <w:sz w:val="24"/>
          <w:szCs w:val="24"/>
        </w:rPr>
        <w:t xml:space="preserve">. </w:t>
      </w:r>
      <w:r w:rsidRPr="004858E1">
        <w:rPr>
          <w:rFonts w:cstheme="minorHAnsi"/>
          <w:sz w:val="24"/>
          <w:szCs w:val="24"/>
        </w:rPr>
        <w:t>A call for SASOP to review their position on the care of ‘transgender and non-binary youth’</w:t>
      </w:r>
      <w:r w:rsidR="009D065A">
        <w:rPr>
          <w:rFonts w:cstheme="minorHAnsi"/>
          <w:sz w:val="24"/>
          <w:szCs w:val="24"/>
        </w:rPr>
        <w:t xml:space="preserve">. </w:t>
      </w:r>
      <w:r w:rsidR="009D065A" w:rsidRPr="009D065A">
        <w:rPr>
          <w:rFonts w:cstheme="minorHAnsi"/>
          <w:i/>
          <w:sz w:val="24"/>
          <w:szCs w:val="24"/>
        </w:rPr>
        <w:t>South African Journal of Psychiatry.</w:t>
      </w:r>
      <w:r w:rsidR="009D065A">
        <w:rPr>
          <w:rFonts w:cstheme="minorHAnsi"/>
          <w:sz w:val="24"/>
          <w:szCs w:val="24"/>
        </w:rPr>
        <w:t xml:space="preserve"> 2025; 31. </w:t>
      </w:r>
      <w:hyperlink r:id="rId16" w:history="1">
        <w:r w:rsidR="009D065A" w:rsidRPr="007969D4">
          <w:rPr>
            <w:rStyle w:val="Hyperlink"/>
            <w:rFonts w:cstheme="minorHAnsi"/>
            <w:sz w:val="24"/>
            <w:szCs w:val="24"/>
          </w:rPr>
          <w:t>https://doi.org/10.4102/sajpsychiatry.v31i0.2381</w:t>
        </w:r>
      </w:hyperlink>
    </w:p>
    <w:p w:rsidR="002A1990" w:rsidRDefault="002A1990" w:rsidP="002A1990">
      <w:pPr>
        <w:pStyle w:val="ListParagraph"/>
        <w:ind w:left="768"/>
        <w:rPr>
          <w:rFonts w:cstheme="minorHAnsi"/>
          <w:sz w:val="24"/>
          <w:szCs w:val="24"/>
        </w:rPr>
      </w:pPr>
    </w:p>
    <w:p w:rsidR="009D065A" w:rsidRPr="00FC0E6C" w:rsidRDefault="00EA1782" w:rsidP="004858E1">
      <w:pPr>
        <w:pStyle w:val="ListParagraph"/>
        <w:numPr>
          <w:ilvl w:val="0"/>
          <w:numId w:val="1"/>
        </w:numPr>
        <w:rPr>
          <w:rStyle w:val="Hyperlink"/>
          <w:rFonts w:cstheme="minorHAnsi"/>
          <w:i/>
          <w:color w:val="auto"/>
          <w:sz w:val="24"/>
          <w:szCs w:val="24"/>
          <w:u w:val="none"/>
        </w:rPr>
      </w:pPr>
      <w:bookmarkStart w:id="7" w:name="_Hlk213141229"/>
      <w:r w:rsidRPr="002A1990">
        <w:rPr>
          <w:rFonts w:cstheme="minorHAnsi"/>
          <w:b/>
          <w:sz w:val="24"/>
          <w:szCs w:val="24"/>
        </w:rPr>
        <w:t>ES Gwala</w:t>
      </w:r>
      <w:r w:rsidR="002A1990" w:rsidRPr="002A1990">
        <w:rPr>
          <w:rFonts w:cstheme="minorHAnsi"/>
          <w:b/>
          <w:sz w:val="24"/>
          <w:szCs w:val="24"/>
        </w:rPr>
        <w:t>, A Ramkillawan and MTD Smith</w:t>
      </w:r>
      <w:r w:rsidR="002A1990">
        <w:rPr>
          <w:rFonts w:cstheme="minorHAnsi"/>
          <w:sz w:val="24"/>
          <w:szCs w:val="24"/>
        </w:rPr>
        <w:t xml:space="preserve">. </w:t>
      </w:r>
      <w:r w:rsidR="002A1990" w:rsidRPr="002A1990">
        <w:rPr>
          <w:rFonts w:cstheme="minorHAnsi"/>
          <w:sz w:val="24"/>
          <w:szCs w:val="24"/>
        </w:rPr>
        <w:t>An open intensive care unit (ICU) model is a viable option for the acute expansion of ICU capacity in the state sector: A study of a needs-based strategy during the COVID-19 pandemic in a tertiary ICU in South Africa</w:t>
      </w:r>
      <w:r w:rsidR="002A1990">
        <w:rPr>
          <w:rFonts w:cstheme="minorHAnsi"/>
          <w:sz w:val="24"/>
          <w:szCs w:val="24"/>
        </w:rPr>
        <w:t xml:space="preserve">. </w:t>
      </w:r>
      <w:r w:rsidR="002A1990" w:rsidRPr="002A1990">
        <w:rPr>
          <w:rFonts w:cstheme="minorHAnsi"/>
          <w:i/>
          <w:sz w:val="24"/>
          <w:szCs w:val="24"/>
        </w:rPr>
        <w:t>African Journal of Thoracic and Critical Care Medicine</w:t>
      </w:r>
      <w:r w:rsidR="002A1990">
        <w:rPr>
          <w:rFonts w:cstheme="minorHAnsi"/>
          <w:i/>
          <w:sz w:val="24"/>
          <w:szCs w:val="24"/>
        </w:rPr>
        <w:t xml:space="preserve">. </w:t>
      </w:r>
      <w:r w:rsidR="002A1990">
        <w:rPr>
          <w:rFonts w:cstheme="minorHAnsi"/>
          <w:sz w:val="24"/>
          <w:szCs w:val="24"/>
        </w:rPr>
        <w:t xml:space="preserve">2025; </w:t>
      </w:r>
      <w:r w:rsidR="002A1990" w:rsidRPr="002A1990">
        <w:rPr>
          <w:rFonts w:cstheme="minorHAnsi"/>
          <w:sz w:val="24"/>
          <w:szCs w:val="24"/>
        </w:rPr>
        <w:t>31(1</w:t>
      </w:r>
      <w:r w:rsidR="002A1990">
        <w:rPr>
          <w:rFonts w:cstheme="minorHAnsi"/>
          <w:sz w:val="24"/>
          <w:szCs w:val="24"/>
        </w:rPr>
        <w:t xml:space="preserve">): 1-6. </w:t>
      </w:r>
      <w:hyperlink r:id="rId17" w:history="1">
        <w:r w:rsidR="002A1990" w:rsidRPr="007969D4">
          <w:rPr>
            <w:rStyle w:val="Hyperlink"/>
            <w:rFonts w:cstheme="minorHAnsi"/>
            <w:sz w:val="24"/>
            <w:szCs w:val="24"/>
          </w:rPr>
          <w:t>https://doi.org/10.7196/AJTCCM.2025.v31i1.2004</w:t>
        </w:r>
      </w:hyperlink>
    </w:p>
    <w:p w:rsidR="00FC0E6C" w:rsidRPr="002A1990" w:rsidRDefault="00FC0E6C" w:rsidP="00FC0E6C">
      <w:pPr>
        <w:pStyle w:val="ListParagraph"/>
        <w:ind w:left="768"/>
        <w:rPr>
          <w:rFonts w:cstheme="minorHAnsi"/>
          <w:i/>
          <w:sz w:val="24"/>
          <w:szCs w:val="24"/>
        </w:rPr>
      </w:pPr>
    </w:p>
    <w:p w:rsidR="002A1990" w:rsidRPr="0099272A" w:rsidRDefault="00FC0E6C" w:rsidP="004858E1">
      <w:pPr>
        <w:pStyle w:val="ListParagraph"/>
        <w:numPr>
          <w:ilvl w:val="0"/>
          <w:numId w:val="1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bookmarkStart w:id="8" w:name="_Hlk213852300"/>
      <w:bookmarkEnd w:id="7"/>
      <w:r w:rsidRPr="00FC0E6C">
        <w:rPr>
          <w:rFonts w:cstheme="minorHAnsi"/>
          <w:sz w:val="24"/>
          <w:szCs w:val="24"/>
        </w:rPr>
        <w:t>A Donkin</w:t>
      </w:r>
      <w:r>
        <w:rPr>
          <w:rFonts w:cstheme="minorHAnsi"/>
          <w:sz w:val="24"/>
          <w:szCs w:val="24"/>
        </w:rPr>
        <w:t xml:space="preserve">, </w:t>
      </w:r>
      <w:r w:rsidRPr="00FC0E6C">
        <w:rPr>
          <w:rFonts w:cstheme="minorHAnsi"/>
          <w:b/>
          <w:sz w:val="24"/>
          <w:szCs w:val="24"/>
        </w:rPr>
        <w:t>RN Rodseth</w:t>
      </w:r>
      <w:r w:rsidRPr="00FC0E6C">
        <w:rPr>
          <w:rFonts w:cstheme="minorHAnsi"/>
          <w:sz w:val="24"/>
          <w:szCs w:val="24"/>
        </w:rPr>
        <w:t xml:space="preserve"> and J Giddy</w:t>
      </w:r>
      <w:r>
        <w:rPr>
          <w:rFonts w:cstheme="minorHAnsi"/>
          <w:sz w:val="24"/>
          <w:szCs w:val="24"/>
        </w:rPr>
        <w:t xml:space="preserve">. </w:t>
      </w:r>
      <w:r w:rsidRPr="00FC0E6C">
        <w:rPr>
          <w:rFonts w:cstheme="minorHAnsi"/>
          <w:sz w:val="24"/>
          <w:szCs w:val="24"/>
        </w:rPr>
        <w:t>A call for SASOP to review their position on the care of ‘transgender and non-binary youth'</w:t>
      </w:r>
      <w:r>
        <w:rPr>
          <w:rFonts w:cstheme="minorHAnsi"/>
          <w:sz w:val="24"/>
          <w:szCs w:val="24"/>
        </w:rPr>
        <w:t xml:space="preserve">. </w:t>
      </w:r>
      <w:r w:rsidRPr="0099272A">
        <w:rPr>
          <w:rFonts w:cstheme="minorHAnsi"/>
          <w:i/>
          <w:sz w:val="24"/>
          <w:szCs w:val="24"/>
        </w:rPr>
        <w:t xml:space="preserve">South African Journal of Psychiatry. </w:t>
      </w:r>
      <w:r>
        <w:rPr>
          <w:rFonts w:cstheme="minorHAnsi"/>
          <w:sz w:val="24"/>
          <w:szCs w:val="24"/>
        </w:rPr>
        <w:t xml:space="preserve">2025;30: a2381. </w:t>
      </w:r>
      <w:hyperlink r:id="rId18" w:history="1">
        <w:r w:rsidRPr="00A90054">
          <w:rPr>
            <w:rStyle w:val="Hyperlink"/>
            <w:rFonts w:cstheme="minorHAnsi"/>
            <w:sz w:val="24"/>
            <w:szCs w:val="24"/>
          </w:rPr>
          <w:t>https://doi.org/10.4102/sajpsychiatry.v31i0.2381</w:t>
        </w:r>
      </w:hyperlink>
    </w:p>
    <w:p w:rsidR="0099272A" w:rsidRDefault="0099272A" w:rsidP="0099272A">
      <w:pPr>
        <w:pStyle w:val="ListParagraph"/>
        <w:ind w:left="768"/>
        <w:rPr>
          <w:rFonts w:cstheme="minorHAnsi"/>
          <w:sz w:val="24"/>
          <w:szCs w:val="24"/>
        </w:rPr>
      </w:pPr>
    </w:p>
    <w:p w:rsidR="00FC0E6C" w:rsidRDefault="0099272A" w:rsidP="004858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bookmarkStart w:id="9" w:name="_Hlk214887697"/>
      <w:bookmarkEnd w:id="8"/>
      <w:r w:rsidRPr="0099272A">
        <w:rPr>
          <w:rFonts w:cstheme="minorHAnsi"/>
          <w:sz w:val="24"/>
          <w:szCs w:val="24"/>
        </w:rPr>
        <w:t xml:space="preserve">CT </w:t>
      </w:r>
      <w:proofErr w:type="spellStart"/>
      <w:r w:rsidRPr="0099272A">
        <w:rPr>
          <w:rFonts w:cstheme="minorHAnsi"/>
          <w:sz w:val="24"/>
          <w:szCs w:val="24"/>
        </w:rPr>
        <w:t>Matava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Pr="0099272A">
        <w:rPr>
          <w:rFonts w:cstheme="minorHAnsi"/>
          <w:b/>
          <w:sz w:val="24"/>
          <w:szCs w:val="24"/>
        </w:rPr>
        <w:t>AM Torborg</w:t>
      </w:r>
      <w:r w:rsidRPr="0099272A">
        <w:rPr>
          <w:rFonts w:cstheme="minorHAnsi"/>
          <w:sz w:val="24"/>
          <w:szCs w:val="24"/>
        </w:rPr>
        <w:t xml:space="preserve"> and TMD Engelhardt</w:t>
      </w:r>
      <w:r>
        <w:rPr>
          <w:rFonts w:cstheme="minorHAnsi"/>
          <w:sz w:val="24"/>
          <w:szCs w:val="24"/>
        </w:rPr>
        <w:t xml:space="preserve">. </w:t>
      </w:r>
      <w:r w:rsidRPr="0099272A">
        <w:rPr>
          <w:rFonts w:cstheme="minorHAnsi"/>
          <w:sz w:val="24"/>
          <w:szCs w:val="24"/>
        </w:rPr>
        <w:t>Airway Management Issues in Japanese Children Are No Different: Insights from the J-PEDIA Study</w:t>
      </w:r>
      <w:r>
        <w:rPr>
          <w:rFonts w:cstheme="minorHAnsi"/>
          <w:sz w:val="24"/>
          <w:szCs w:val="24"/>
        </w:rPr>
        <w:t xml:space="preserve">. </w:t>
      </w:r>
      <w:proofErr w:type="spellStart"/>
      <w:r w:rsidRPr="0099272A">
        <w:rPr>
          <w:rFonts w:cstheme="minorHAnsi"/>
          <w:i/>
          <w:sz w:val="24"/>
          <w:szCs w:val="24"/>
        </w:rPr>
        <w:t>Anesthesiology</w:t>
      </w:r>
      <w:proofErr w:type="spellEnd"/>
      <w:r>
        <w:rPr>
          <w:rFonts w:cstheme="minorHAnsi"/>
          <w:sz w:val="24"/>
          <w:szCs w:val="24"/>
        </w:rPr>
        <w:t xml:space="preserve">. 2025;143(4):802-804. </w:t>
      </w:r>
      <w:r w:rsidRPr="0099272A">
        <w:rPr>
          <w:rFonts w:cstheme="minorHAnsi"/>
          <w:sz w:val="24"/>
          <w:szCs w:val="24"/>
        </w:rPr>
        <w:t>DOI: 10.1097/ALN.0000000000005647</w:t>
      </w:r>
    </w:p>
    <w:p w:rsidR="006C616B" w:rsidRDefault="006C616B" w:rsidP="004858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bookmarkStart w:id="10" w:name="_Hlk215056257"/>
      <w:r w:rsidRPr="006C616B">
        <w:rPr>
          <w:rFonts w:cstheme="minorHAnsi"/>
          <w:sz w:val="24"/>
          <w:szCs w:val="24"/>
        </w:rPr>
        <w:lastRenderedPageBreak/>
        <w:t>JL Burke</w:t>
      </w:r>
      <w:r>
        <w:rPr>
          <w:rFonts w:cstheme="minorHAnsi"/>
          <w:sz w:val="24"/>
          <w:szCs w:val="24"/>
        </w:rPr>
        <w:t xml:space="preserve"> and </w:t>
      </w:r>
      <w:r w:rsidRPr="006C616B">
        <w:rPr>
          <w:rFonts w:cstheme="minorHAnsi"/>
          <w:b/>
          <w:sz w:val="24"/>
          <w:szCs w:val="24"/>
        </w:rPr>
        <w:t>DG Bishop</w:t>
      </w:r>
      <w:r>
        <w:rPr>
          <w:rFonts w:cstheme="minorHAnsi"/>
          <w:sz w:val="24"/>
          <w:szCs w:val="24"/>
        </w:rPr>
        <w:t xml:space="preserve">. </w:t>
      </w:r>
      <w:r w:rsidRPr="006C616B">
        <w:rPr>
          <w:rFonts w:cstheme="minorHAnsi"/>
          <w:sz w:val="24"/>
          <w:szCs w:val="24"/>
        </w:rPr>
        <w:t>Obstetric spinal anaesthesia-induced hypotension: just sit back, relax, and write the notes?</w:t>
      </w:r>
      <w:r>
        <w:rPr>
          <w:rFonts w:cstheme="minorHAnsi"/>
          <w:sz w:val="24"/>
          <w:szCs w:val="24"/>
        </w:rPr>
        <w:t xml:space="preserve"> </w:t>
      </w:r>
      <w:r w:rsidRPr="006C616B">
        <w:rPr>
          <w:rFonts w:cstheme="minorHAnsi"/>
          <w:i/>
          <w:sz w:val="24"/>
          <w:szCs w:val="24"/>
        </w:rPr>
        <w:t>Southern African Journal of Anaesthesia and Analgesia</w:t>
      </w:r>
      <w:r>
        <w:rPr>
          <w:rFonts w:cstheme="minorHAnsi"/>
          <w:sz w:val="24"/>
          <w:szCs w:val="24"/>
        </w:rPr>
        <w:t xml:space="preserve">. 2025;31(6):193-196. </w:t>
      </w:r>
      <w:hyperlink r:id="rId19" w:history="1">
        <w:r w:rsidRPr="00342F08">
          <w:rPr>
            <w:rStyle w:val="Hyperlink"/>
            <w:rFonts w:cstheme="minorHAnsi"/>
            <w:sz w:val="24"/>
            <w:szCs w:val="24"/>
          </w:rPr>
          <w:t>https://doi.org/10.36303/SAJAA.3445</w:t>
        </w:r>
      </w:hyperlink>
      <w:r>
        <w:rPr>
          <w:rFonts w:cstheme="minorHAnsi"/>
          <w:sz w:val="24"/>
          <w:szCs w:val="24"/>
        </w:rPr>
        <w:t>.</w:t>
      </w:r>
    </w:p>
    <w:p w:rsidR="00A01ADC" w:rsidRDefault="00A01ADC" w:rsidP="00A01ADC">
      <w:pPr>
        <w:pStyle w:val="ListParagraph"/>
        <w:ind w:left="768"/>
        <w:rPr>
          <w:rFonts w:cstheme="minorHAnsi"/>
          <w:sz w:val="24"/>
          <w:szCs w:val="24"/>
        </w:rPr>
      </w:pPr>
    </w:p>
    <w:p w:rsidR="00A01ADC" w:rsidRDefault="00A01ADC" w:rsidP="004858E1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A01ADC">
        <w:rPr>
          <w:rFonts w:cstheme="minorHAnsi"/>
          <w:b/>
          <w:sz w:val="24"/>
          <w:szCs w:val="24"/>
        </w:rPr>
        <w:t>G Ferreira, DG Bishop and PD Gopalan</w:t>
      </w:r>
      <w:r>
        <w:rPr>
          <w:rFonts w:cstheme="minorHAnsi"/>
          <w:sz w:val="24"/>
          <w:szCs w:val="24"/>
        </w:rPr>
        <w:t xml:space="preserve">. </w:t>
      </w:r>
      <w:r w:rsidRPr="00A01ADC">
        <w:rPr>
          <w:rFonts w:cstheme="minorHAnsi"/>
          <w:sz w:val="24"/>
          <w:szCs w:val="24"/>
        </w:rPr>
        <w:t>The impact of the framing effect on performance in a simulated emergency anaesthetic scenario in medical officers: A prospective, randomised, double-blinded study</w:t>
      </w:r>
      <w:r w:rsidRPr="00A01ADC">
        <w:rPr>
          <w:rFonts w:cstheme="minorHAnsi"/>
          <w:i/>
          <w:sz w:val="24"/>
          <w:szCs w:val="24"/>
        </w:rPr>
        <w:t>. Journal of the Colleges of Medicine of South Africa</w:t>
      </w:r>
      <w:r>
        <w:rPr>
          <w:rFonts w:cstheme="minorHAnsi"/>
          <w:sz w:val="24"/>
          <w:szCs w:val="24"/>
        </w:rPr>
        <w:t xml:space="preserve">. 2025; 3(1): a262. </w:t>
      </w:r>
      <w:hyperlink r:id="rId20" w:history="1">
        <w:r w:rsidR="00D326A2" w:rsidRPr="003D209E">
          <w:rPr>
            <w:rStyle w:val="Hyperlink"/>
            <w:rFonts w:cstheme="minorHAnsi"/>
            <w:sz w:val="24"/>
            <w:szCs w:val="24"/>
          </w:rPr>
          <w:t>https://doi.org/10.4102/jcmsa.v3i1.262</w:t>
        </w:r>
      </w:hyperlink>
      <w:r>
        <w:rPr>
          <w:rFonts w:cstheme="minorHAnsi"/>
          <w:sz w:val="24"/>
          <w:szCs w:val="24"/>
        </w:rPr>
        <w:t>.</w:t>
      </w:r>
    </w:p>
    <w:p w:rsidR="00D326A2" w:rsidRDefault="00D326A2" w:rsidP="00D326A2">
      <w:pPr>
        <w:pStyle w:val="ListParagraph"/>
        <w:ind w:left="768"/>
        <w:rPr>
          <w:rFonts w:cstheme="minorHAnsi"/>
          <w:sz w:val="24"/>
          <w:szCs w:val="24"/>
        </w:rPr>
      </w:pPr>
    </w:p>
    <w:p w:rsidR="00D326A2" w:rsidRPr="00D326A2" w:rsidRDefault="00D326A2" w:rsidP="00D326A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 </w:t>
      </w:r>
      <w:proofErr w:type="spellStart"/>
      <w:r>
        <w:rPr>
          <w:rFonts w:cstheme="minorHAnsi"/>
          <w:b/>
          <w:sz w:val="24"/>
          <w:szCs w:val="24"/>
        </w:rPr>
        <w:t>Anauth</w:t>
      </w:r>
      <w:proofErr w:type="spellEnd"/>
      <w:r>
        <w:rPr>
          <w:rFonts w:cstheme="minorHAnsi"/>
          <w:b/>
          <w:sz w:val="24"/>
          <w:szCs w:val="24"/>
        </w:rPr>
        <w:t xml:space="preserve"> and K de Vasconcellos. </w:t>
      </w:r>
      <w:r w:rsidRPr="00D326A2">
        <w:rPr>
          <w:rFonts w:cstheme="minorHAnsi"/>
          <w:sz w:val="24"/>
          <w:szCs w:val="24"/>
        </w:rPr>
        <w:t>Incidence and outcomes of early hyperglycaemia in critically ill patients</w:t>
      </w:r>
      <w:r>
        <w:rPr>
          <w:rFonts w:cstheme="minorHAnsi"/>
          <w:sz w:val="24"/>
          <w:szCs w:val="24"/>
        </w:rPr>
        <w:t xml:space="preserve">. </w:t>
      </w:r>
      <w:r w:rsidRPr="00907CA5">
        <w:rPr>
          <w:rFonts w:cstheme="minorHAnsi"/>
          <w:i/>
          <w:sz w:val="24"/>
          <w:szCs w:val="24"/>
        </w:rPr>
        <w:t>South African Journal Critical Care</w:t>
      </w:r>
      <w:r>
        <w:rPr>
          <w:rFonts w:cstheme="minorHAnsi"/>
          <w:i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2025; 41(3): e1541. </w:t>
      </w:r>
      <w:r w:rsidRPr="00D326A2">
        <w:rPr>
          <w:rFonts w:cstheme="minorHAnsi"/>
          <w:sz w:val="24"/>
          <w:szCs w:val="24"/>
        </w:rPr>
        <w:t>https://doi.org/10.7196/SAJCC.2025.v41i3.1541</w:t>
      </w:r>
      <w:bookmarkStart w:id="11" w:name="_GoBack"/>
      <w:bookmarkEnd w:id="11"/>
    </w:p>
    <w:bookmarkEnd w:id="10"/>
    <w:p w:rsidR="006C616B" w:rsidRPr="00D326A2" w:rsidRDefault="006C616B" w:rsidP="006C616B">
      <w:pPr>
        <w:pStyle w:val="ListParagraph"/>
        <w:ind w:left="768"/>
        <w:rPr>
          <w:rFonts w:cstheme="minorHAnsi"/>
          <w:sz w:val="24"/>
          <w:szCs w:val="24"/>
        </w:rPr>
      </w:pPr>
    </w:p>
    <w:bookmarkEnd w:id="6"/>
    <w:bookmarkEnd w:id="9"/>
    <w:bookmarkEnd w:id="4"/>
    <w:p w:rsidR="00703DF8" w:rsidRDefault="00703DF8" w:rsidP="00703DF8"/>
    <w:sectPr w:rsidR="00703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817D4"/>
    <w:multiLevelType w:val="hybridMultilevel"/>
    <w:tmpl w:val="14EE372C"/>
    <w:lvl w:ilvl="0" w:tplc="11123FA8">
      <w:start w:val="1"/>
      <w:numFmt w:val="decimal"/>
      <w:lvlText w:val="%1."/>
      <w:lvlJc w:val="left"/>
      <w:pPr>
        <w:ind w:left="768" w:hanging="360"/>
      </w:pPr>
      <w:rPr>
        <w:i w:val="0"/>
      </w:rPr>
    </w:lvl>
    <w:lvl w:ilvl="1" w:tplc="1C090019" w:tentative="1">
      <w:start w:val="1"/>
      <w:numFmt w:val="lowerLetter"/>
      <w:lvlText w:val="%2."/>
      <w:lvlJc w:val="left"/>
      <w:pPr>
        <w:ind w:left="1488" w:hanging="360"/>
      </w:pPr>
    </w:lvl>
    <w:lvl w:ilvl="2" w:tplc="1C09001B" w:tentative="1">
      <w:start w:val="1"/>
      <w:numFmt w:val="lowerRoman"/>
      <w:lvlText w:val="%3."/>
      <w:lvlJc w:val="right"/>
      <w:pPr>
        <w:ind w:left="2208" w:hanging="180"/>
      </w:pPr>
    </w:lvl>
    <w:lvl w:ilvl="3" w:tplc="1C09000F" w:tentative="1">
      <w:start w:val="1"/>
      <w:numFmt w:val="decimal"/>
      <w:lvlText w:val="%4."/>
      <w:lvlJc w:val="left"/>
      <w:pPr>
        <w:ind w:left="2928" w:hanging="360"/>
      </w:pPr>
    </w:lvl>
    <w:lvl w:ilvl="4" w:tplc="1C090019" w:tentative="1">
      <w:start w:val="1"/>
      <w:numFmt w:val="lowerLetter"/>
      <w:lvlText w:val="%5."/>
      <w:lvlJc w:val="left"/>
      <w:pPr>
        <w:ind w:left="3648" w:hanging="360"/>
      </w:pPr>
    </w:lvl>
    <w:lvl w:ilvl="5" w:tplc="1C09001B" w:tentative="1">
      <w:start w:val="1"/>
      <w:numFmt w:val="lowerRoman"/>
      <w:lvlText w:val="%6."/>
      <w:lvlJc w:val="right"/>
      <w:pPr>
        <w:ind w:left="4368" w:hanging="180"/>
      </w:pPr>
    </w:lvl>
    <w:lvl w:ilvl="6" w:tplc="1C09000F" w:tentative="1">
      <w:start w:val="1"/>
      <w:numFmt w:val="decimal"/>
      <w:lvlText w:val="%7."/>
      <w:lvlJc w:val="left"/>
      <w:pPr>
        <w:ind w:left="5088" w:hanging="360"/>
      </w:pPr>
    </w:lvl>
    <w:lvl w:ilvl="7" w:tplc="1C090019" w:tentative="1">
      <w:start w:val="1"/>
      <w:numFmt w:val="lowerLetter"/>
      <w:lvlText w:val="%8."/>
      <w:lvlJc w:val="left"/>
      <w:pPr>
        <w:ind w:left="5808" w:hanging="360"/>
      </w:pPr>
    </w:lvl>
    <w:lvl w:ilvl="8" w:tplc="1C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4C354FF5"/>
    <w:multiLevelType w:val="hybridMultilevel"/>
    <w:tmpl w:val="DBCA5512"/>
    <w:lvl w:ilvl="0" w:tplc="837CB3C6">
      <w:start w:val="1"/>
      <w:numFmt w:val="decimal"/>
      <w:lvlText w:val="%1."/>
      <w:lvlJc w:val="left"/>
      <w:pPr>
        <w:ind w:left="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E7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62E3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C6C6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581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4244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3E91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C42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54CA2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AA"/>
    <w:rsid w:val="0004381C"/>
    <w:rsid w:val="000835E6"/>
    <w:rsid w:val="000A2660"/>
    <w:rsid w:val="00135A24"/>
    <w:rsid w:val="002148E9"/>
    <w:rsid w:val="002A1990"/>
    <w:rsid w:val="003E034D"/>
    <w:rsid w:val="004858E1"/>
    <w:rsid w:val="0048704D"/>
    <w:rsid w:val="006C560B"/>
    <w:rsid w:val="006C616B"/>
    <w:rsid w:val="00703DF8"/>
    <w:rsid w:val="00907CA5"/>
    <w:rsid w:val="0099272A"/>
    <w:rsid w:val="009D065A"/>
    <w:rsid w:val="009E1523"/>
    <w:rsid w:val="00A01ADC"/>
    <w:rsid w:val="00AF4DF5"/>
    <w:rsid w:val="00BF52AA"/>
    <w:rsid w:val="00C14366"/>
    <w:rsid w:val="00C80AE2"/>
    <w:rsid w:val="00D326A2"/>
    <w:rsid w:val="00EA1782"/>
    <w:rsid w:val="00FC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57BEC3"/>
  <w15:chartTrackingRefBased/>
  <w15:docId w15:val="{09AB1E56-9435-49CE-AFD8-FC6B0533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2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52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3613-024-01336-9" TargetMode="External"/><Relationship Id="rId13" Type="http://schemas.openxmlformats.org/officeDocument/2006/relationships/hyperlink" Target="https://doi.org/10.36303/SAJAA.3208" TargetMode="External"/><Relationship Id="rId18" Type="http://schemas.openxmlformats.org/officeDocument/2006/relationships/hyperlink" Target="https://doi.org/10.4102/sajpsychiatry.v31i0.238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1016/j.afjem.2025.05.005" TargetMode="External"/><Relationship Id="rId12" Type="http://schemas.openxmlformats.org/officeDocument/2006/relationships/hyperlink" Target="https://doi.org/10.51168/sjhrafrica.v6i3.1526" TargetMode="External"/><Relationship Id="rId17" Type="http://schemas.openxmlformats.org/officeDocument/2006/relationships/hyperlink" Target="https://doi.org/10.7196/AJTCCM.2025.v31i1.20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4102/sajpsychiatry.v31i0.2381" TargetMode="External"/><Relationship Id="rId20" Type="http://schemas.openxmlformats.org/officeDocument/2006/relationships/hyperlink" Target="https://doi.org/10.4102/jcmsa.v3i1.2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jcm14020350" TargetMode="External"/><Relationship Id="rId11" Type="http://schemas.openxmlformats.org/officeDocument/2006/relationships/hyperlink" Target="https://doi.org/10.51168/sjhrafrica.v6i9.2024" TargetMode="External"/><Relationship Id="rId5" Type="http://schemas.openxmlformats.org/officeDocument/2006/relationships/hyperlink" Target="https://doi.org/10.36303/SAJAA.3169" TargetMode="External"/><Relationship Id="rId15" Type="http://schemas.openxmlformats.org/officeDocument/2006/relationships/hyperlink" Target="https://doi.org/10.3390/ebj6040055" TargetMode="External"/><Relationship Id="rId10" Type="http://schemas.openxmlformats.org/officeDocument/2006/relationships/hyperlink" Target="https://doi.org/10.36303/SAJAA.3227" TargetMode="External"/><Relationship Id="rId19" Type="http://schemas.openxmlformats.org/officeDocument/2006/relationships/hyperlink" Target="https://doi.org/10.36303/SAJAA.34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4102/safp.v67i1.6061" TargetMode="External"/><Relationship Id="rId14" Type="http://schemas.openxmlformats.org/officeDocument/2006/relationships/hyperlink" Target="https://doi.org/10.7196/SAJCC.2025.v412.15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Myriches Thulile Sibusiswe Biyase</dc:creator>
  <cp:keywords/>
  <dc:description/>
  <cp:lastModifiedBy>Myriches Thulile Sibusiswe Biyase</cp:lastModifiedBy>
  <cp:revision>9</cp:revision>
  <dcterms:created xsi:type="dcterms:W3CDTF">2025-09-23T11:46:00Z</dcterms:created>
  <dcterms:modified xsi:type="dcterms:W3CDTF">2025-12-24T09:54:00Z</dcterms:modified>
</cp:coreProperties>
</file>